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11"/>
    <w:p>
      <w:pPr>
        <w:pStyle w:val="Heading1"/>
      </w:pPr>
      <w:r>
        <w:t xml:space="preserve">Homiletics Analysis: Exodus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11 is a brief but pivotal chapter standing at the hinge between the ninth and tenth plagues. The LORD announces to Moses that one final plague remains — the death of every firstborn in Egypt, from Pharaoh’s son on the throne to the slave girl’s son at the millstone, including the firstborn of livestock. The announcement is accompanied by a striking social reversal: the Egyptians will press silver and gold upon the departing Israelites, and Moses himself is described as</w:t>
      </w:r>
      <w:r>
        <w:t xml:space="preserve"> </w:t>
      </w:r>
      <w:r>
        <w:t xml:space="preserve">“highly regarded”</w:t>
      </w:r>
      <w:r>
        <w:t xml:space="preserve"> </w:t>
      </w:r>
      <w:r>
        <w:t xml:space="preserve">in the sight of Pharaoh’s officials and the Egyptian people. The chapter closes with a statement of absolute divine discrimination — Israel will be kept safe while judgment falls on Egypt, so that all will know that the LORD distinguishes between Israel and Egypt. Pharaoh’s continued hard-heartedness is noted, explaining why Moses departed from Pharaoh’s presence in hot anger. The chapter does not yet describe the execution of the plague — that is Exodus 12 — but announces it with finality: one more plague, and then Pharaoh will drive Israel out entirely.</w:t>
      </w:r>
    </w:p>
    <w:p>
      <w:pPr>
        <w:pStyle w:val="BodyText"/>
      </w:pPr>
      <w:r>
        <w:rPr>
          <w:b/>
          <w:bCs/>
        </w:rPr>
        <w:t xml:space="preserve">This Text — Intent</w:t>
      </w:r>
    </w:p>
    <w:p>
      <w:pPr>
        <w:pStyle w:val="BodyText"/>
      </w:pPr>
      <w:r>
        <w:t xml:space="preserve">God is seeking to produce absolute confidence in His sovereign authority over all human power structures — and in His discriminating grace toward His people. The intent is not merely to inform that a tenth plague is coming; it is to establish, before the climactic judgment falls, that the LORD alone distinguishes between His people and His enemies, and that His word is completely certain. The reader is meant to stand in awe before a God whose judgments are final, whose grace is particular and deliberate, and whose purposes cannot be frustrated by the hardest of human hearts.</w:t>
      </w:r>
    </w:p>
    <w:p>
      <w:r>
        <w:pict>
          <v:rect style="width:0;height:1.5pt" o:hralign="center" o:hrstd="t" o:hr="t"/>
        </w:pict>
      </w:r>
    </w:p>
    <w:p>
      <w:pPr>
        <w:pStyle w:val="FirstParagraph"/>
      </w:pPr>
      <w:r>
        <w:rPr>
          <w:b/>
          <w:bCs/>
        </w:rPr>
        <w:t xml:space="preserve">Subject Sentence:</w:t>
      </w:r>
      <w:r>
        <w:t xml:space="preserve"> </w:t>
      </w:r>
      <w:r>
        <w:t xml:space="preserve">The LORD announces the final and decisive plague — death will pass through Egypt and Pharaoh will yield.</w:t>
      </w:r>
    </w:p>
    <w:p>
      <w:r>
        <w:pict>
          <v:rect style="width:0;height:1.5pt" o:hralign="center" o:hrstd="t" o:hr="t"/>
        </w:pict>
      </w:r>
    </w:p>
    <w:p>
      <w:pPr>
        <w:pStyle w:val="FirstParagraph"/>
      </w:pPr>
      <w:r>
        <w:rPr>
          <w:b/>
          <w:bCs/>
        </w:rPr>
        <w:t xml:space="preserve">Primary Claim:</w:t>
      </w:r>
      <w:r>
        <w:t xml:space="preserve"> </w:t>
      </w:r>
      <w:r>
        <w:t xml:space="preserve">God’s sovereign authority over the mightiest earthly power is absolute — He alone distinguishes His people from the condemned, and His announced word cannot be delayed, altered, or escaped.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hardening of Pharaoh’s heart</w:t>
      </w:r>
    </w:p>
    <w:p>
      <w:pPr>
        <w:pStyle w:val="BodyText"/>
      </w:pPr>
      <w:r>
        <w:t xml:space="preserve">The most significant interpretive issue in this chapter is the statement that the LORD hardened Pharaoh’s heart so that he would not listen — a statement appearing throughout the plague narrative and restated here. Arminian and Wesleyan interpreters have generally argued that divine hardening is responsive to Pharaoh’s own prior self-hardening (noting that the early plague accounts describe Pharaoh hardening his own heart), and that the language of divine hardening should be understood as God permitting or confirming a direction Pharaoh himself chose. This reading seeks to preserve full human moral responsibility and resist any implication that God rendered Pharaoh’s guilt unjust.</w:t>
      </w:r>
    </w:p>
    <w:p>
      <w:pPr>
        <w:pStyle w:val="BodyText"/>
      </w:pPr>
      <w:r>
        <w:t xml:space="preserve">The Reformed reading does not deny Pharaoh’s moral agency or guilt — the text holds both simultaneously, and Pharaoh is presented as fully culpable throughout. But the Reformed reading insists that the divine hardening is real, sovereign, and purposeful — not merely responsive. Paul’s citation of this narrative in Romans 9 resolves the interpretive question by framing it as an instance of divine prerogative in election and reprobation:</w:t>
      </w:r>
      <w:r>
        <w:t xml:space="preserve"> </w:t>
      </w:r>
      <w:r>
        <w:t xml:space="preserve">“For this very purpose I raised you up, that I might display My power in you, and that My name might be proclaimed throughout the whole earth”</w:t>
      </w:r>
      <w:r>
        <w:t xml:space="preserve"> </w:t>
      </w:r>
      <w:r>
        <w:t xml:space="preserve">(Romans 9:17). The Reformed reading should be preferred not because it is more comfortable but because it alone accounts for the full weight of Paul’s exegesis, the deliberate divine announcement of purpose (</w:t>
      </w:r>
      <w:r>
        <w:t xml:space="preserve">“I will harden his heart”</w:t>
      </w:r>
      <w:r>
        <w:t xml:space="preserve"> </w:t>
      </w:r>
      <w:r>
        <w:t xml:space="preserve">preceding Pharaoh’s own responses), and the text’s own repeated insistence that the hardening serves God’s revelatory agenda.</w:t>
      </w:r>
    </w:p>
    <w:p>
      <w:pPr>
        <w:pStyle w:val="BodyText"/>
      </w:pPr>
      <w:r>
        <w:rPr>
          <w:b/>
          <w:bCs/>
        </w:rPr>
        <w:t xml:space="preserve">The plundering of Egypt as moral problem</w:t>
      </w:r>
    </w:p>
    <w:p>
      <w:pPr>
        <w:pStyle w:val="BodyText"/>
      </w:pPr>
      <w:r>
        <w:t xml:space="preserve">Some interpreters have found ethical difficulty in God instructing Israel to</w:t>
      </w:r>
      <w:r>
        <w:t xml:space="preserve"> </w:t>
      </w:r>
      <w:r>
        <w:t xml:space="preserve">“borrow”</w:t>
      </w:r>
      <w:r>
        <w:t xml:space="preserve"> </w:t>
      </w:r>
      <w:r>
        <w:t xml:space="preserve">or</w:t>
      </w:r>
      <w:r>
        <w:t xml:space="preserve"> </w:t>
      </w:r>
      <w:r>
        <w:t xml:space="preserve">“ask for”</w:t>
      </w:r>
      <w:r>
        <w:t xml:space="preserve"> </w:t>
      </w:r>
      <w:r>
        <w:t xml:space="preserve">silver and gold from the Egyptians with apparent intent never to return it (v. 2, echoing 3:21-22). Dispensationalist interpreters sometimes treat this as pure prophetic fulfillment of Genesis 15:14 with no ethical tension. Some critical scholars flag it as morally problematic.</w:t>
      </w:r>
    </w:p>
    <w:p>
      <w:pPr>
        <w:pStyle w:val="BodyText"/>
      </w:pPr>
      <w:r>
        <w:t xml:space="preserve">The Reformed reading notes that the language of plundering is itself the interpretive key: the text frames the silver and gold transfer explicitly as God’s sovereign compensation for Israel’s years of slave labor — partial reparation for generations of injustice. It also fulfills the Abrahamic covenant promise (Genesis 15:14). There is no deception involved; the Egyptians give willingly in a moment when, after the plagues, the authority of the LORD has been established even in Egyptian minds. The ethical weight is not Israel’s taking but Egypt’s debt — a debt Pharaoh created through oppression.</w:t>
      </w:r>
    </w:p>
    <w:p>
      <w:pPr>
        <w:pStyle w:val="BodyText"/>
      </w:pPr>
      <w:r>
        <w:rPr>
          <w:b/>
          <w:bCs/>
        </w:rPr>
        <w:t xml:space="preserve">The firstborn judgment as disproportionate</w:t>
      </w:r>
    </w:p>
    <w:p>
      <w:pPr>
        <w:pStyle w:val="BodyText"/>
      </w:pPr>
      <w:r>
        <w:t xml:space="preserve">Some readers, particularly in pastoral contexts influenced by therapeutic sensibilities, struggle with the death of Egyptian firstborns as collective punishment falling on those who are not personally Pharaoh. This is less a formal hermeneutical school than a recurring pastoral objection that must be addressed. The text is not silent on the logic: the plague of the firstborn mirrors Pharaoh’s own decree to kill Israel’s firstborn sons (Exodus 1:22); God explicitly frames this in Exodus 4:22-23 as divine reciprocity (</w:t>
      </w:r>
      <w:r>
        <w:t xml:space="preserve">“Israel is My firstborn son… Let My son go… if you refuse, I will kill your firstborn son”</w:t>
      </w:r>
      <w:r>
        <w:t xml:space="preserve">). The judgment is not arbitrary — it answers injustice with precision. This does not eliminate the gravity of the judgment but locates it within the logic of divine justice rather than capricious violence.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15:13-14</w:t>
      </w:r>
      <w:r>
        <w:t xml:space="preserve"> </w:t>
      </w:r>
      <w:r>
        <w:t xml:space="preserve">— The Abrahamic covenant foretold exactly this: Israel would serve in a land not their own, be afflicted for four hundred years, and then come out with great possessions. Exodus 11 is covenant fulfillment unfolding in real time.</w:t>
      </w:r>
    </w:p>
    <w:p>
      <w:pPr>
        <w:numPr>
          <w:ilvl w:val="0"/>
          <w:numId w:val="1001"/>
        </w:numPr>
      </w:pPr>
      <w:r>
        <w:rPr>
          <w:b/>
          <w:bCs/>
        </w:rPr>
        <w:t xml:space="preserve">Exodus 4:21-23</w:t>
      </w:r>
      <w:r>
        <w:t xml:space="preserve"> </w:t>
      </w:r>
      <w:r>
        <w:t xml:space="preserve">— The LORD frames the firstborn judgment in explicitly covenantal terms before the plague narrative begins: Israel is God’s firstborn; Pharaoh’s refusal to release God’s son will cost him his own. The logic of Exodus 11 is established here.</w:t>
      </w:r>
    </w:p>
    <w:p>
      <w:pPr>
        <w:numPr>
          <w:ilvl w:val="0"/>
          <w:numId w:val="1001"/>
        </w:numPr>
      </w:pPr>
      <w:r>
        <w:rPr>
          <w:b/>
          <w:bCs/>
        </w:rPr>
        <w:t xml:space="preserve">Romans 9:14-18</w:t>
      </w:r>
      <w:r>
        <w:t xml:space="preserve"> </w:t>
      </w:r>
      <w:r>
        <w:t xml:space="preserve">— Paul explicitly cites the hardening of Pharaoh as the paradigmatic display of God’s sovereign freedom in mercy and judgment: God raised Pharaoh up for the very purpose of displaying His power and proclaiming His name. This is the canonical key to the hardening theology of the plague narrative.</w:t>
      </w:r>
    </w:p>
    <w:p>
      <w:pPr>
        <w:numPr>
          <w:ilvl w:val="0"/>
          <w:numId w:val="1001"/>
        </w:numPr>
      </w:pPr>
      <w:r>
        <w:rPr>
          <w:b/>
          <w:bCs/>
        </w:rPr>
        <w:t xml:space="preserve">Hebrews 11:28</w:t>
      </w:r>
      <w:r>
        <w:t xml:space="preserve"> </w:t>
      </w:r>
      <w:r>
        <w:t xml:space="preserve">— Moses’s faith in the Passover is cited as an act of trust in the word of God concerning the firstborn judgment:</w:t>
      </w:r>
      <w:r>
        <w:t xml:space="preserve"> </w:t>
      </w:r>
      <w:r>
        <w:t xml:space="preserve">“By faith he kept the Passover and the sprinkling of blood, so that the destroyer of the firstborn would not touch them.”</w:t>
      </w:r>
      <w:r>
        <w:t xml:space="preserve"> </w:t>
      </w:r>
      <w:r>
        <w:t xml:space="preserve">Exodus 11’s announcement is what faith grasps hold of before it is executed.</w:t>
      </w:r>
    </w:p>
    <w:p>
      <w:pPr>
        <w:numPr>
          <w:ilvl w:val="0"/>
          <w:numId w:val="1001"/>
        </w:numPr>
      </w:pPr>
      <w:r>
        <w:rPr>
          <w:b/>
          <w:bCs/>
        </w:rPr>
        <w:t xml:space="preserve">Revelation 19:1-2</w:t>
      </w:r>
      <w:r>
        <w:t xml:space="preserve"> </w:t>
      </w:r>
      <w:r>
        <w:t xml:space="preserve">— The praise of heaven at Babylon’s fall echoes the logic of Exodus 11: God’s judgments are true and righteous, and His deliverance of His people from the oppressive power is the occasion for worship. The Exodus pattern becomes the paradigm for eschatological judgment.</w:t>
      </w:r>
    </w:p>
    <w:p>
      <w:r>
        <w:pict>
          <v:rect style="width:0;height:1.5pt" o:hralign="center" o:hrstd="t" o:hr="t"/>
        </w:pict>
      </w:r>
    </w:p>
    <w:p>
      <w:pPr>
        <w:pStyle w:val="FirstParagraph"/>
      </w:pPr>
      <w:r>
        <w:rPr>
          <w:b/>
          <w:bCs/>
        </w:rPr>
        <w:t xml:space="preserve">Aim:</w:t>
      </w:r>
      <w:r>
        <w:t xml:space="preserve"> </w:t>
      </w:r>
      <w:r>
        <w:t xml:space="preserve">To demonstrate that God’s announced word of both judgment and deliverance is absolutely certain — producing humble trust in His discriminating grace and confident rest in the inviolability of His promises.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announces to Moses that one more plague is coming after which Pharaoh will drive Israel out completely</w:t>
            </w:r>
          </w:p>
        </w:tc>
        <w:tc>
          <w:tcPr/>
          <w:p>
            <w:pPr>
              <w:pStyle w:val="Compact"/>
            </w:pPr>
            <w:r>
              <w:t xml:space="preserve">“Drive out”</w:t>
            </w:r>
            <w:r>
              <w:t xml:space="preserve"> </w:t>
            </w:r>
            <w:r>
              <w:t xml:space="preserve">(gārash) — an expulsion, not a reluctant release; the final reversal of Pharaoh’s posture</w:t>
            </w:r>
          </w:p>
        </w:tc>
      </w:tr>
      <w:tr>
        <w:tc>
          <w:tcPr/>
          <w:p>
            <w:pPr>
              <w:pStyle w:val="Compact"/>
            </w:pPr>
            <w:r>
              <w:t xml:space="preserve">2</w:t>
            </w:r>
          </w:p>
        </w:tc>
        <w:tc>
          <w:tcPr/>
          <w:p>
            <w:pPr>
              <w:pStyle w:val="Compact"/>
            </w:pPr>
            <w:r>
              <w:t xml:space="preserve">Israel instructed to ask silver and gold articles from their Egyptian neighbors</w:t>
            </w:r>
          </w:p>
        </w:tc>
        <w:tc>
          <w:tcPr/>
          <w:p>
            <w:pPr>
              <w:pStyle w:val="Compact"/>
            </w:pPr>
            <w:r>
              <w:t xml:space="preserve">Echoes 3:21-22; fulfills Genesis 15:14; the plundering of Egypt is covenantally grounded</w:t>
            </w:r>
          </w:p>
        </w:tc>
      </w:tr>
      <w:tr>
        <w:tc>
          <w:tcPr/>
          <w:p>
            <w:pPr>
              <w:pStyle w:val="Compact"/>
            </w:pPr>
            <w:r>
              <w:t xml:space="preserve">3</w:t>
            </w:r>
          </w:p>
        </w:tc>
        <w:tc>
          <w:tcPr/>
          <w:p>
            <w:pPr>
              <w:pStyle w:val="Compact"/>
            </w:pPr>
            <w:r>
              <w:t xml:space="preserve">The LORD caused Israel to find favor in Egyptian eyes; Moses himself was</w:t>
            </w:r>
            <w:r>
              <w:t xml:space="preserve"> </w:t>
            </w:r>
            <w:r>
              <w:t xml:space="preserve">“highly regarded”</w:t>
            </w:r>
            <w:r>
              <w:t xml:space="preserve"> </w:t>
            </w:r>
            <w:r>
              <w:t xml:space="preserve">in Egypt and by Pharaoh’s officials</w:t>
            </w:r>
          </w:p>
        </w:tc>
        <w:tc>
          <w:tcPr/>
          <w:p>
            <w:pPr>
              <w:pStyle w:val="Compact"/>
            </w:pPr>
            <w:r>
              <w:t xml:space="preserve">Social reversal: the slaves are honored; the oppressor’s court esteems God’s servant</w:t>
            </w:r>
          </w:p>
        </w:tc>
      </w:tr>
      <w:tr>
        <w:tc>
          <w:tcPr/>
          <w:p>
            <w:pPr>
              <w:pStyle w:val="Compact"/>
            </w:pPr>
            <w:r>
              <w:t xml:space="preserve">4</w:t>
            </w:r>
          </w:p>
        </w:tc>
        <w:tc>
          <w:tcPr/>
          <w:p>
            <w:pPr>
              <w:pStyle w:val="Compact"/>
            </w:pPr>
            <w:r>
              <w:t xml:space="preserve">Moses announces:</w:t>
            </w:r>
            <w:r>
              <w:t xml:space="preserve"> </w:t>
            </w:r>
            <w:r>
              <w:t xml:space="preserve">“About midnight I will go throughout Egypt”</w:t>
            </w:r>
          </w:p>
        </w:tc>
        <w:tc>
          <w:tcPr/>
          <w:p>
            <w:pPr>
              <w:pStyle w:val="Compact"/>
            </w:pPr>
            <w:r>
              <w:t xml:space="preserve">The divine personal agency is underscored — the LORD Himself passes through</w:t>
            </w:r>
          </w:p>
        </w:tc>
      </w:tr>
      <w:tr>
        <w:tc>
          <w:tcPr/>
          <w:p>
            <w:pPr>
              <w:pStyle w:val="Compact"/>
            </w:pPr>
            <w:r>
              <w:t xml:space="preserve">5</w:t>
            </w:r>
          </w:p>
        </w:tc>
        <w:tc>
          <w:tcPr/>
          <w:p>
            <w:pPr>
              <w:pStyle w:val="Compact"/>
            </w:pPr>
            <w:r>
              <w:t xml:space="preserve">Every firstborn in Egypt will die — from Pharaoh’s firstborn to the slave girl’s firstborn to the firstborn of livestock</w:t>
            </w:r>
          </w:p>
        </w:tc>
        <w:tc>
          <w:tcPr/>
          <w:p>
            <w:pPr>
              <w:pStyle w:val="Compact"/>
            </w:pPr>
            <w:r>
              <w:t xml:space="preserve">Total scope: no social class exempt; mirrors the totality of Egyptian oppression against Israel</w:t>
            </w:r>
          </w:p>
        </w:tc>
      </w:tr>
      <w:tr>
        <w:tc>
          <w:tcPr/>
          <w:p>
            <w:pPr>
              <w:pStyle w:val="Compact"/>
            </w:pPr>
            <w:r>
              <w:t xml:space="preserve">6</w:t>
            </w:r>
          </w:p>
        </w:tc>
        <w:tc>
          <w:tcPr/>
          <w:p>
            <w:pPr>
              <w:pStyle w:val="Compact"/>
            </w:pPr>
            <w:r>
              <w:t xml:space="preserve">There will be a great cry throughout Egypt unlike any before or after</w:t>
            </w:r>
          </w:p>
        </w:tc>
        <w:tc>
          <w:tcPr/>
          <w:p>
            <w:pPr>
              <w:pStyle w:val="Compact"/>
            </w:pPr>
            <w:r>
              <w:t xml:space="preserve">The scale of grief matches the scale of judgment</w:t>
            </w:r>
          </w:p>
        </w:tc>
      </w:tr>
      <w:tr>
        <w:tc>
          <w:tcPr/>
          <w:p>
            <w:pPr>
              <w:pStyle w:val="Compact"/>
            </w:pPr>
            <w:r>
              <w:t xml:space="preserve">7</w:t>
            </w:r>
          </w:p>
        </w:tc>
        <w:tc>
          <w:tcPr/>
          <w:p>
            <w:pPr>
              <w:pStyle w:val="Compact"/>
            </w:pPr>
            <w:r>
              <w:t xml:space="preserve">But not a dog will bark against any Israelite or their animals — so that the LORD may make a distinction</w:t>
            </w:r>
          </w:p>
        </w:tc>
        <w:tc>
          <w:tcPr/>
          <w:p>
            <w:pPr>
              <w:pStyle w:val="Compact"/>
            </w:pPr>
            <w:r>
              <w:t xml:space="preserve">The divine distinction (palāh) is the theological center: total silence toward Israel, total devastation toward Egypt</w:t>
            </w:r>
          </w:p>
        </w:tc>
      </w:tr>
      <w:tr>
        <w:tc>
          <w:tcPr/>
          <w:p>
            <w:pPr>
              <w:pStyle w:val="Compact"/>
            </w:pPr>
            <w:r>
              <w:t xml:space="preserve">8</w:t>
            </w:r>
          </w:p>
        </w:tc>
        <w:tc>
          <w:tcPr/>
          <w:p>
            <w:pPr>
              <w:pStyle w:val="Compact"/>
            </w:pPr>
            <w:r>
              <w:t xml:space="preserve">Moses declares that Pharaoh’s officials will bow before him and beg Israel to leave; then Moses left Pharaoh in hot anger</w:t>
            </w:r>
          </w:p>
        </w:tc>
        <w:tc>
          <w:tcPr/>
          <w:p>
            <w:pPr>
              <w:pStyle w:val="Compact"/>
            </w:pPr>
            <w:r>
              <w:t xml:space="preserve">The social reversal comes full circle; Moses’s anger reflects genuine moral indignation at Pharaoh’s obduracy</w:t>
            </w:r>
          </w:p>
        </w:tc>
      </w:tr>
      <w:tr>
        <w:tc>
          <w:tcPr/>
          <w:p>
            <w:pPr>
              <w:pStyle w:val="Compact"/>
            </w:pPr>
            <w:r>
              <w:t xml:space="preserve">9</w:t>
            </w:r>
          </w:p>
        </w:tc>
        <w:tc>
          <w:tcPr/>
          <w:p>
            <w:pPr>
              <w:pStyle w:val="Compact"/>
            </w:pPr>
            <w:r>
              <w:t xml:space="preserve">The LORD tells Moses that Pharaoh will not listen, so that the wonders may be multiplied in Egypt</w:t>
            </w:r>
          </w:p>
        </w:tc>
        <w:tc>
          <w:tcPr/>
          <w:p>
            <w:pPr>
              <w:pStyle w:val="Compact"/>
            </w:pPr>
            <w:r>
              <w:t xml:space="preserve">God’s stated purpose in the hardening — revelatory multiplication of wonders</w:t>
            </w:r>
          </w:p>
        </w:tc>
      </w:tr>
      <w:tr>
        <w:tc>
          <w:tcPr/>
          <w:p>
            <w:pPr>
              <w:pStyle w:val="Compact"/>
            </w:pPr>
            <w:r>
              <w:t xml:space="preserve">10</w:t>
            </w:r>
          </w:p>
        </w:tc>
        <w:tc>
          <w:tcPr/>
          <w:p>
            <w:pPr>
              <w:pStyle w:val="Compact"/>
            </w:pPr>
            <w:r>
              <w:t xml:space="preserve">Moses and Aaron performed all these wonders before Pharaoh; the LORD hardened Pharaoh’s heart so he would not let Israel go</w:t>
            </w:r>
          </w:p>
        </w:tc>
        <w:tc>
          <w:tcPr/>
          <w:p>
            <w:pPr>
              <w:pStyle w:val="Compact"/>
            </w:pPr>
            <w:r>
              <w:t xml:space="preserve">Summary statement: the hardening is divine, purposeful, and serves the larger revelatory agenda</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Final Announcement: One More Plague and Then Release</w:t>
            </w:r>
          </w:p>
        </w:tc>
      </w:tr>
      <w:tr>
        <w:tc>
          <w:tcPr/>
          <w:p>
            <w:pPr>
              <w:pStyle w:val="Compact"/>
            </w:pPr>
            <w:r>
              <w:t xml:space="preserve">2</w:t>
            </w:r>
          </w:p>
        </w:tc>
        <w:tc>
          <w:tcPr/>
          <w:p>
            <w:pPr>
              <w:pStyle w:val="Compact"/>
            </w:pPr>
            <w:r>
              <w:t xml:space="preserve">4–8</w:t>
            </w:r>
          </w:p>
        </w:tc>
        <w:tc>
          <w:tcPr/>
          <w:p>
            <w:pPr>
              <w:pStyle w:val="Compact"/>
            </w:pPr>
            <w:r>
              <w:t xml:space="preserve">The Content of the Plague: Divine Discrimination Declared</w:t>
            </w:r>
          </w:p>
        </w:tc>
      </w:tr>
      <w:tr>
        <w:tc>
          <w:tcPr/>
          <w:p>
            <w:pPr>
              <w:pStyle w:val="Compact"/>
            </w:pPr>
            <w:r>
              <w:t xml:space="preserve">3</w:t>
            </w:r>
          </w:p>
        </w:tc>
        <w:tc>
          <w:tcPr/>
          <w:p>
            <w:pPr>
              <w:pStyle w:val="Compact"/>
            </w:pPr>
            <w:r>
              <w:t xml:space="preserve">9–10</w:t>
            </w:r>
          </w:p>
        </w:tc>
        <w:tc>
          <w:tcPr/>
          <w:p>
            <w:pPr>
              <w:pStyle w:val="Compact"/>
            </w:pPr>
            <w:r>
              <w:t xml:space="preserve">The Theological Explanation: Hardening, Wonders, and God’s Purpose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announces the final and decisive plague — death will pass through Egypt and Pharaoh will yield.</w:t>
      </w:r>
    </w:p>
    <w:p>
      <w:pPr>
        <w:pStyle w:val="BodyText"/>
      </w:pPr>
      <w:r>
        <w:rPr>
          <w:b/>
          <w:bCs/>
        </w:rPr>
        <w:t xml:space="preserve">Primary Claim:</w:t>
      </w:r>
      <w:r>
        <w:t xml:space="preserve"> </w:t>
      </w:r>
      <w:r>
        <w:t xml:space="preserve">God’s sovereign authority over the mightiest earthly power is absolute — He alone distinguishes His people from the condemned, and His announced word cannot be delayed, altered, or escaped.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God’s word of announcement carries the same certainty as God’s word of fulfillment.</w:t>
      </w:r>
      <w:r>
        <w:t xml:space="preserve"> </w:t>
      </w:r>
      <w:r>
        <w:rPr>
          <w:i/>
          <w:iCs/>
        </w:rPr>
        <w:t xml:space="preserve">(Mind/Belief)</w:t>
      </w:r>
      <w:r>
        <w:t xml:space="preserve"> </w:t>
      </w:r>
      <w:r>
        <w:t xml:space="preserve">Exodus 11 is entirely announcement — the plague has not yet fallen. Yet Moses speaks with the certainty of a man who has already seen it. The chapter invites its readers to treat God’s word before its fulfillment with the same seriousness they would treat it after. For the believer, every promise God has made about the final judgment, the resurrection, the new creation, and the completion of salvation is as certain as Genesis 1:1. The question is not whether God will do what He has said — the question is whether we are living in the present as people who believe He will. Where you treat God’s announced future as hypothetical, you are functionally living as though Pharaoh might win.</w:t>
      </w:r>
    </w:p>
    <w:p>
      <w:pPr>
        <w:pStyle w:val="BodyText"/>
      </w:pPr>
      <w:r>
        <w:rPr>
          <w:b/>
          <w:bCs/>
        </w:rPr>
        <w:t xml:space="preserve">2. Rest in the reality that God’s discriminating grace is specific, deliberate, and not accidental.</w:t>
      </w:r>
      <w:r>
        <w:t xml:space="preserve"> </w:t>
      </w:r>
      <w:r>
        <w:rPr>
          <w:i/>
          <w:iCs/>
        </w:rPr>
        <w:t xml:space="preserve">(Affections/Worship)</w:t>
      </w:r>
      <w:r>
        <w:t xml:space="preserve"> </w:t>
      </w:r>
      <w:r>
        <w:t xml:space="preserve">Verse 7 is one of the most theologically dense sentences in the plague narrative:</w:t>
      </w:r>
      <w:r>
        <w:t xml:space="preserve"> </w:t>
      </w:r>
      <w:r>
        <w:t xml:space="preserve">“not a dog will bark against any Israelite.”</w:t>
      </w:r>
      <w:r>
        <w:t xml:space="preserve"> </w:t>
      </w:r>
      <w:r>
        <w:t xml:space="preserve">Not one. The silence toward Israel is as total as the devastation toward Egypt. God did not protect Israel because they were morally superior to Egyptians — Israel worshipped idols, grumbled, and would sin catastrophically within weeks of this moment. He protected them because He distinguished them — an act of sovereign, covenantal grace. For the believer who struggles to feel the weight of their election, this verse is meant to produce wonder and worship, not analysis. God has drawn a line around you — not because of what you are but because of who He is. That is not a doctrine to be explained; it is a grace to be received with trembling gratitude.</w:t>
      </w:r>
    </w:p>
    <w:p>
      <w:pPr>
        <w:pStyle w:val="BodyText"/>
      </w:pPr>
      <w:r>
        <w:rPr>
          <w:b/>
          <w:bCs/>
        </w:rPr>
        <w:t xml:space="preserve">3. Understand that God’s judgment is never arbitrary — it is always proportionate, purposeful, and just.</w:t>
      </w:r>
      <w:r>
        <w:t xml:space="preserve"> </w:t>
      </w:r>
      <w:r>
        <w:rPr>
          <w:i/>
          <w:iCs/>
        </w:rPr>
        <w:t xml:space="preserve">(Mind/Belief)</w:t>
      </w:r>
      <w:r>
        <w:t xml:space="preserve"> </w:t>
      </w:r>
      <w:r>
        <w:t xml:space="preserve">The death of the firstborn shocks modern readers, and it should — the text intends gravity, not ease. But the proportionality of the judgment is written into the narrative from Exodus 1: Pharaoh ordered the murder of Israel’s infant sons; the God who declared Israel His firstborn (4:22) answers with precise reciprocity. God’s judgments are not capricious eruptions of power — they are morally calibrated responses to injustice and rebellion. This matters for how we read Romans 1, Revelation 19, and the doctrine of hell: the wrath of God is not the loss of divine control but the exercise of divine justice. A God who did not judge Pharaoh would not be the God of the covenant.</w:t>
      </w:r>
    </w:p>
    <w:p>
      <w:pPr>
        <w:pStyle w:val="BodyText"/>
      </w:pPr>
      <w:r>
        <w:rPr>
          <w:b/>
          <w:bCs/>
        </w:rPr>
        <w:t xml:space="preserve">4. Refuse to domesticate God’s holiness by expecting every human heart to eventually yield to persuasion.</w:t>
      </w:r>
      <w:r>
        <w:t xml:space="preserve"> </w:t>
      </w:r>
      <w:r>
        <w:rPr>
          <w:i/>
          <w:iCs/>
        </w:rPr>
        <w:t xml:space="preserve">(Affections/Worship)</w:t>
      </w:r>
      <w:r>
        <w:t xml:space="preserve"> </w:t>
      </w:r>
      <w:r>
        <w:t xml:space="preserve">Pharaoh had seen ten displays of divine power by this point. He remained unbroken — not because the evidence was insufficient but because hard hearts resist even the most overwhelming testimony. This passage should cure the expositor and the believer of the assumption that if we only communicate the gospel clearly enough, winsome enough, or persuasively enough, every person will believe. Moses himself was highly regarded in Egypt (v. 3) — his credibility was not the problem. God sovereignly hardens some hearts for His own revelatory purposes. This does not eliminate the urgency of proclamation — it properly locates the source of conversion not in the preacher’s skill but in the same God who makes the distinction between Israel and Egypt. Pray accordingly.</w:t>
      </w:r>
    </w:p>
    <w:p>
      <w:pPr>
        <w:pStyle w:val="BodyText"/>
      </w:pPr>
      <w:r>
        <w:rPr>
          <w:b/>
          <w:bCs/>
        </w:rPr>
        <w:t xml:space="preserve">5. Live as a people who expect the world’s hostility to reverse — and act now on that future certainty.</w:t>
      </w:r>
      <w:r>
        <w:t xml:space="preserve"> </w:t>
      </w:r>
      <w:r>
        <w:rPr>
          <w:i/>
          <w:iCs/>
        </w:rPr>
        <w:t xml:space="preserve">(Will/Behavior)</w:t>
      </w:r>
      <w:r>
        <w:t xml:space="preserve"> </w:t>
      </w:r>
      <w:r>
        <w:t xml:space="preserve">Israel was told to ask silver and gold from their neighbors (v. 2) — an act that required confidence that the social order was about to invert dramatically. They were slaves asking their masters for wealth. They did it because God told them to. The application is not that Christians should expect material prosperity — it is that Christians live now in the light of a coming reversal that is as certain as the Exodus. The world currently holds social, cultural, and institutional power and often uses it against the people of God. The believer is called to act now in light of the coming inversion — not with triumphalism but with the quiet confidence of a people who know which side of the divine distinction they stand on. Act like the slaves who are about to walk out with Egypt’s gold — not arrogantly, but without despair.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11 is a concentrated display of divine sovereignty over the totality of human power structures. The chapter teaches that God does not merely respond to history — He directs it, including through the hardened resistance of His enemies, toward His own revelatory purposes. The divine discrimination between Israel and Egypt (v. 7) demonstrates that God’s grace is particular and deliberate, not generic or probabilistic. The scope of the judgment — from throne to millstone to livestock — establishes that no social class, no inherited privilege, and no geographical accident exempts a person from the justice of God apart from His own distinguishing grace. The LORD’s self-identification as the one who</w:t>
      </w:r>
      <w:r>
        <w:t xml:space="preserve"> </w:t>
      </w:r>
      <w:r>
        <w:t xml:space="preserve">“passes through”</w:t>
      </w:r>
      <w:r>
        <w:t xml:space="preserve"> </w:t>
      </w:r>
      <w:r>
        <w:t xml:space="preserve">is not impersonal or mechanical — it is the personal agency of a God whose judgments are morally precise and whose deliverances are covenantally grounded.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11 is one of the Old Testament’s clearest presentations of the doctrines of divine sovereignty in judgment and discriminating grace — what Reformed theology has understood under the headings of election and reprobation. The hardening of Pharaoh, cited by Paul as the paradigmatic case of God’s sovereign freedom in Romans 9, is here shown to be purposeful and revelatory: God raises up Pharaoh not despite His purposes but as an instrument of them, so that His power and name would be displayed on the widest possible stage. The divine distinction of Israel is not grounded in Israel’s merit — in context, Israel is an oppressed, often faithless people — but in God’s covenant love. This is the theological grammar of Ephesians 1:4-5 written in narrative form: chosen in Him before the foundation of the world, predestined according to the purpose of His will. The Exodus becomes the historical prototype for the gospel itself: a sovereign, gracious deliverance of an undeserving people from a bondage they could not escape, at cost to the oppressor, by the word and power of God alone.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drawn a line — and where that line falls is entirely His decision, not yours. The same God who passed through Egypt and made a distinction between the condemned and the delivered has, in Christ, made that distinction for you — not because of what you brought but because of who He is. The final judgment is as certain as this announcement to Moses. Live now in the light of which side of the line you stand 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chapter 11 as merely transitional scene-setting for the Passover.</w:t>
      </w:r>
      <w:r>
        <w:t xml:space="preserve"> </w:t>
      </w:r>
      <w:r>
        <w:t xml:space="preserve">The most common homiletical failure with Exodus 11 is reading it as prologue to the</w:t>
      </w:r>
      <w:r>
        <w:t xml:space="preserve"> </w:t>
      </w:r>
      <w:r>
        <w:t xml:space="preserve">“real”</w:t>
      </w:r>
      <w:r>
        <w:t xml:space="preserve"> </w:t>
      </w:r>
      <w:r>
        <w:t xml:space="preserve">text in chapter 12 and rushing through it. But the announcement itself — before execution — is theologically significant. Bullmore’s content/intent discipline applies here: God is accomplishing something through the</w:t>
      </w:r>
      <w:r>
        <w:t xml:space="preserve"> </w:t>
      </w:r>
      <w:r>
        <w:rPr>
          <w:i/>
          <w:iCs/>
        </w:rPr>
        <w:t xml:space="preserve">announcement</w:t>
      </w:r>
      <w:r>
        <w:t xml:space="preserve">, not just through the event. The chapter rewards sustained attention rather than summary treatment.</w:t>
      </w:r>
    </w:p>
    <w:p>
      <w:pPr>
        <w:numPr>
          <w:ilvl w:val="0"/>
          <w:numId w:val="1002"/>
        </w:numPr>
      </w:pPr>
      <w:r>
        <w:rPr>
          <w:b/>
          <w:bCs/>
        </w:rPr>
        <w:t xml:space="preserve">Softening or explaining away the hardening of Pharaoh’s heart.</w:t>
      </w:r>
      <w:r>
        <w:t xml:space="preserve"> </w:t>
      </w:r>
      <w:r>
        <w:t xml:space="preserve">Pastors shaped by therapeutic culture or by concern for audience offense often either skip the hardening language or reframe it as purely Pharaoh’s own doing. This domesticates the text and produces a God who is reactive rather than sovereign. The hardening should be preached with the full weight the text gives it — including the discomfort — because a God who cannot harden Pharaoh’s heart cannot be fully trusted to soften yours. Romans 9 should control the exposition of this motif.</w:t>
      </w:r>
    </w:p>
    <w:p>
      <w:pPr>
        <w:numPr>
          <w:ilvl w:val="0"/>
          <w:numId w:val="1002"/>
        </w:numPr>
      </w:pPr>
      <w:r>
        <w:rPr>
          <w:b/>
          <w:bCs/>
        </w:rPr>
        <w:t xml:space="preserve">Moralizing the plague narrative into a lesson about obedience.</w:t>
      </w:r>
      <w:r>
        <w:t xml:space="preserve"> </w:t>
      </w:r>
      <w:r>
        <w:t xml:space="preserve">The Clowney anti-moralism principle applies directly: Exodus 11 is not primarily a model of</w:t>
      </w:r>
      <w:r>
        <w:t xml:space="preserve"> </w:t>
      </w:r>
      <w:r>
        <w:t xml:space="preserve">“bold proclamation”</w:t>
      </w:r>
      <w:r>
        <w:t xml:space="preserve"> </w:t>
      </w:r>
      <w:r>
        <w:t xml:space="preserve">(Moses announcing the plague) or</w:t>
      </w:r>
      <w:r>
        <w:t xml:space="preserve"> </w:t>
      </w:r>
      <w:r>
        <w:t xml:space="preserve">“faithful obedience”</w:t>
      </w:r>
      <w:r>
        <w:t xml:space="preserve"> </w:t>
      </w:r>
      <w:r>
        <w:t xml:space="preserve">(Israel asking for silver and gold). These elements are present, but they are not the primary claim. The primary claim is about God — His sovereignty, His discrimination, His certainty of purpose. Applications that focus primarily on Moses’s courage or Israel’s compliance have shifted the subject from God to man.</w:t>
      </w:r>
    </w:p>
    <w:p>
      <w:pPr>
        <w:numPr>
          <w:ilvl w:val="0"/>
          <w:numId w:val="1002"/>
        </w:numPr>
      </w:pPr>
      <w:r>
        <w:rPr>
          <w:b/>
          <w:bCs/>
        </w:rPr>
        <w:t xml:space="preserve">Failing to trace the firstborn judgment to its covenantal logic.</w:t>
      </w:r>
      <w:r>
        <w:t xml:space="preserve"> </w:t>
      </w:r>
      <w:r>
        <w:t xml:space="preserve">Preachers who encounter the death of the firstborn and simply assert that</w:t>
      </w:r>
      <w:r>
        <w:t xml:space="preserve"> </w:t>
      </w:r>
      <w:r>
        <w:t xml:space="preserve">“God’s ways are higher than ours”</w:t>
      </w:r>
      <w:r>
        <w:t xml:space="preserve"> </w:t>
      </w:r>
      <w:r>
        <w:t xml:space="preserve">without engaging the text’s own explanatory logic miss an opportunity and leave a pastoral problem on the table. The text provides the logic — Exodus 4:22-23, the mirror of Pharaoh’s own decree against Israel’s sons, the covenant status of Israel as God’s firstborn. Engage it rather than retreating to a bare appeal to divine mystery.</w:t>
      </w:r>
    </w:p>
    <w:p>
      <w:pPr>
        <w:numPr>
          <w:ilvl w:val="0"/>
          <w:numId w:val="1002"/>
        </w:numPr>
      </w:pPr>
      <w:r>
        <w:rPr>
          <w:b/>
          <w:bCs/>
        </w:rPr>
        <w:t xml:space="preserve">Losing the personal warmth of verse 7 in theological abstraction.</w:t>
      </w:r>
      <w:r>
        <w:t xml:space="preserve"> </w:t>
      </w:r>
      <w:r>
        <w:t xml:space="preserve">“Not a dog will bark against any of the sons of Israel”</w:t>
      </w:r>
      <w:r>
        <w:t xml:space="preserve"> </w:t>
      </w:r>
      <w:r>
        <w:t xml:space="preserve">is one of Scripture’s most intimate and specific promises of divine protection. It is easy to let this verse become merely a proof text for the doctrine of election and miss its pastoral weight: God’s protection of His people is total, specific, and deliberate. The preacher who helps a congregation feel the silence of that dog — not merely understand the doctrine it illustrates — has done more homiletical work than ten minutes of theological exposition.</w:t>
      </w:r>
    </w:p>
    <w:p>
      <w:pPr>
        <w:numPr>
          <w:ilvl w:val="0"/>
          <w:numId w:val="1002"/>
        </w:numPr>
      </w:pPr>
      <w:r>
        <w:rPr>
          <w:b/>
          <w:bCs/>
        </w:rPr>
        <w:t xml:space="preserve">Presenting the social reversal (silver and gold) as a prosperity-gospel template.</w:t>
      </w:r>
      <w:r>
        <w:t xml:space="preserve"> </w:t>
      </w:r>
      <w:r>
        <w:t xml:space="preserve">The instruction to Israel to ask for silver and gold from their Egyptian neighbors has been misread in prosperity-gospel contexts as a promise of material wealth transfer to God’s people. The text is doing something far more specific: fulfilling a precise covenant promise from Genesis 15:14, compensating for slave labor, and demonstrating the scope of God’s reversal of Egypt’s power. This reading must be preserved against both the prosperity misreading and the overcorrection that ignores the reversal theme entirely.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2026-07-14T21:01:23Z</dcterms:created>
  <dcterms:modified xsi:type="dcterms:W3CDTF">2026-07-14T21:01:23Z</dcterms:modified>
</cp:coreProperties>
</file>

<file path=docProps/custom.xml><?xml version="1.0" encoding="utf-8"?>
<Properties xmlns="http://schemas.openxmlformats.org/officeDocument/2006/custom-properties" xmlns:vt="http://schemas.openxmlformats.org/officeDocument/2006/docPropsVTypes"/>
</file>